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69 vom 8. Oktober 2025</w:t>
      </w:r>
    </w:p>
    <w:p>
      <w:r>
        <w:t>VS Kantonsgericht, 2025-10-08, FR</w:t>
      </w:r>
    </w:p>
    <w:p>
      <w:r>
        <w:rPr>
          <w:b/>
        </w:rPr>
        <w:t xml:space="preserve">Quelle: </w:t>
      </w:r>
      <w:r>
        <w:t>https://mcp.opencaselaw.ch/entscheid/vs_gerichte_A1 25 69</w:t>
      </w:r>
    </w:p>
    <w:p>
      <w:r>
        <w:t>FR: VS_GERICHTE A1 25 69 du 8 octobre 2025</w:t>
      </w:r>
    </w:p>
    <w:p>
      <w:r>
        <w:t>IT: VS_GERICHTE A1 25 69 del 8 ottobre 2025</w:t>
      </w:r>
    </w:p>
    <w:p>
      <w:pPr>
        <w:pStyle w:val="Heading2"/>
      </w:pPr>
      <w:r>
        <w:t>Erwägungen</w:t>
      </w:r>
    </w:p>
    <w:p>
      <w:r>
        <w:rPr>
          <w:b/>
        </w:rPr>
        <w:t>E. 1.1</w:t>
      </w:r>
    </w:p>
    <w:p>
      <w:r>
        <w:t>Déposé en temps utile par une personne qui est directement atteinte par la décision du Conseil d’Etat attaquée, le recours de droit administratif est recevable sous cet angle (art. 72, 80 al. 1 let. a-c, 44 al. 1, 46 et 48 LPJA).</w:t>
      </w:r>
    </w:p>
    <w:p>
      <w:r>
        <w:rPr>
          <w:b/>
        </w:rPr>
        <w:t>E. 1.2</w:t>
      </w:r>
    </w:p>
    <w:p>
      <w:r>
        <w:t>Afin de satisfaire aux exigences de motivation d’un recours de droit administratif (art. 80 al. 1 let. c et 48 al. 2 LPJA), le recourant doit clairement exposer ses motifs, c'est- à-dire les raisons pour lesquelles il estime que la décision attaquée viole le droit (arrêt du Tribunal fédéral 1C_15/2020 du 30 janvier 2020 consid. 2) et ne pas rédiger son écriture de manière appellatoire (RVJ 2022 p. 36 consid. 1.1). Ces standards imposent au recourant de discuter l’argumentation développée par la juridiction de recours administratif afin de la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(ACDP A1 22 191 du 24 juillet</w:t>
      </w:r>
    </w:p>
    <w:p>
      <w:r>
        <w:t>- 9 - 2023 consid. 1.1).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du Tribunal fédéral 1C_15/2020 du 30 janvier 2020 consid. 2 ; ACDP A1 24 70 du 17 septembre 2024 consid. 1.2).</w:t>
      </w:r>
    </w:p>
    <w:p>
      <w:r>
        <w:rPr>
          <w:b/>
        </w:rPr>
        <w:t>E. 1.3</w:t>
      </w:r>
    </w:p>
    <w:p>
      <w:r>
        <w:t>En l’espèce, dans la majeure partie de son recours, le recourant s’est contenté d’exprimer de manière appellatoire, donc prohibée, qu’il ne comprenait pas la position du Conseil d’Etat dès lors qu’il avait demandé la production des fiches de salaire et avait transmis son contrat de travail du 13 mars 2023. Il ne s’est jamais référé précisément à la décision du Conseil d’Etat du 26 mars 2025, n’a pas invoqué la violation d’une quelconque disposition légale et nullement cherché à montrer en quoi le refus du Conseil d’Etat d’interpeller directement l’employeur violait le droit. De plus, comme l’écrit d’ailleurs le recourant, le Conseil d’Etat avait demandé la production de son contrat de travail modifié avec C _________ SA, demande qui ne saurait être satisfaite par la transmission de son premier contrat de travail. La recevabilité de son recours de droit administratif semble ainsi douteuse sous l’angle de sa motivation. S’il était recevable, il devrait néanmoins être rejeté pour les motifs exposés ci-après, étant précisé que la qualité de travailleur du recourant auprès de C _________ SA sera analysée (consid. 2) en raison des moyens de preuve nouveaux versés céans.</w:t>
      </w:r>
    </w:p>
    <w:p>
      <w:r>
        <w:rPr>
          <w:b/>
        </w:rPr>
        <w:t>E. 2</w:t>
      </w:r>
    </w:p>
    <w:p>
      <w:r>
        <w:t>Dans un premier grief, le recourant invoque implicitement une violation de l’art. 6 par. 1 annexe I ALCP.</w:t>
      </w:r>
    </w:p>
    <w:p>
      <w:r>
        <w:rPr>
          <w:b/>
        </w:rPr>
        <w:t>E. 2.1.1</w:t>
      </w:r>
    </w:p>
    <w:p>
      <w:r>
        <w:t>La LEI s’applique aux ressortissants des Etats membres de l’Union européenne uniquement si l’ALCP n’en dispose pas autrement ou lorsque le doit interne prévoit des dispositions plus favorables (art. 2 al. 2 LEI). Les autorisations de séjour de courte durée, de séjour et frontalières UE/AELE peuvent être révoquées ou ne pas être prolongées, si les conditions requises pour leur délivrance ne sont plus remplies (art. 23 al. 1 OLCP).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travailleur</w:t>
      </w:r>
    </w:p>
    <w:p>
      <w:r>
        <w:t>- 10 - salarié qui occupe un emploi d’une durée supérieure à trois mois et inférieure à un an au service d’un employeur de l’Etat d’accueil reçoit, pour sa part, un titre de séjour d’une durée égale à celle prévue dans le contrat (art. 6 par. 2 annexe I ALCP). L'art. 6 par. 6 annexe I ALCP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(arrêt du Tribunal fédéral 2C_215/2024 du 17 septembre 2024 consid. 4.2.1). De jurisprudence constante, doit être considéré comme un « travailleur » au sens de l'ALCP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réduites qui se présentent comme marginales et accessoires (ATF 151 II 277 consid. 5.3).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(ATF 151 II 277 consid. 5.3). Le Tribunal fédéral considère qu'un étranger au bénéfice d'une autorisation de séjour UE/AELE peut perdre le statut de travailleur au sens de l'ALCP et par conséquent se voir refuser la prolongation, respectivement voir l'autorisation de séjour dont il est titulaire être révoquée si 1) il se trouve dans un cas de chômage volontaire ; 2) on peut déduire de son comportement qu'il n'existe (plus) aucune perspective réelle qu'il soit engagé à nouveau dans un laps de temps raisonnable ou 3) il adopte un comportement abusif (ATF 141 II 1 consid. 2.2.1; arrêt du Tribunal fédéral 2C_215/2024 du 17 septembre 2024 consid. 4.2.1).</w:t>
      </w:r>
    </w:p>
    <w:p>
      <w:r>
        <w:rPr>
          <w:b/>
        </w:rPr>
        <w:t>E. 2.1.2</w:t>
      </w:r>
    </w:p>
    <w:p>
      <w:r>
        <w:t>Selon la maxime inquisitoire, qui prévaut en particulier en droit public (ATF 140 I 285 consid. 6.3.1), l’autorité établit d’office les faits (cf. art. 17 al. 1 LPJA, applicable par renvoi des art. 80 al. 1 let. d et 56 al. 1 LPJA). Cela ne dispense pas pour autant les parties de collaborer à leur établissement ; il incombe notamment à celles-ci d’étayer leurs propres thèses, de renseigner le juge sur les faits de la cause et de lui</w:t>
      </w:r>
    </w:p>
    <w:p>
      <w:r>
        <w:t>- 11 - indiquer les moyens de preuves disponibles, spécialement lorsqu’il s’agit d’élucider des faits qu’elles sont les mieux à même de connaître (ATF 148 II 465 consid. 8.3 ; arrêt du Tribunal fédéral 2C_146/2025 du 13 mai 2025 consid. 5.1). En droit des étrangers, l’art. 90 LEI met, en outre, à la charge de celles-ci un devoir spécifique de collaborer à la constatation des faits déterminants.</w:t>
      </w:r>
    </w:p>
    <w:p>
      <w:r>
        <w:rPr>
          <w:b/>
        </w:rPr>
        <w:t>E. 2.2</w:t>
      </w:r>
    </w:p>
    <w:p>
      <w:r>
        <w:t>En l’espèce, le recourant prétend avoir travaillé pour la société C _________ SA dès le 16 mars 2023. Il a cependant transmis céans un contrat de travail conclu avec L _________ AG pour une activité devant commencer le 15 mai 2025. Le recourant n’allègue pas avoir effectivement débuté ce nouvel emploi et reste équivoque sur la fin de ses rapports de travail avec la première société dans son courrier du 30 juillet 2025 dans lequel il écrit être « toujours au service de C _________ SA à tout le moins jusqu’au 15 mai 2025 ». Le recourant pourrait donc, à l’heure actuelle, travailler pour C _________ SA, pour L _________ AG, ou être sans emploi à supposer que son premier emploi ait pris fin mais qu’il n’était pas entré en fonction pour le second, sans que l’on sache s’il s’agit d’un chômage volontaire ou involontaire. Il appartenait au recourant, en vertu de son devoir de collaboration, de dissiper ce flou, ce qu’il n’a pas fait. Le recourant lui-même a transmis le courriel du 5 février 2024 dans lequel l’administrateur de C _________ SA a informé le SPM que le contrat de travail avait été modifié pour mieux correspondre à ses activités d’agent commercial ainsi que les courriels du 6 février 2025 du même administrateur attestant qu’il n’y avait eu aucun versement à ce jour mais uniquement des compensations de prestations, par exemple des vols en hélicoptère, qui devaient être décomptées lors de l’entrée du recourant dans l’actionnariat de sa société. Ainsi, la persistance du recourant à promettre, puis à demander l’édition de ses fiches des salaires est inconséquente dès lors qu’aucun salaire en espèces n’a été versé et qu’un éventuel salaire en nature n’a jamais été décompté, ce qu’il ne pouvait ignorer. Le recourant ne pouvait pas non plus se borner à envoyer le premier contrat de travail du 13 mars 2023, alors qu’un nouvel accord avait été conclu, dont on ignore encore à ce jour le cahier des charges, le taux ou encore l’étendue de la rémunération convenue. Il sied également de rappeler que l’administrateur de C _________ SA avait, dans un premier temps, affirmé au SPM que le recourant ne travaillait pas pour sa société. Dès lors, c’est à juste titre que le Conseil d’Etat a considéré que le recourant n’a jamais produit de pièce justificative propre à établir qu’il était salarié de la société C _________ SA.</w:t>
      </w:r>
    </w:p>
    <w:p>
      <w:r>
        <w:t>- 12 - Les pièces déposées par le recourant le 30 juillet 2025 ne fondent pas plus sa qualité de travailleur auprès de C _________ SA. En effet, l’existence de retenues sur salaire établies d’office par le préposé aux poursuites et les rappels d’impôts à la source calculés par le SCC au moyen des éléments à sa disposition et en raison de l’absence de suite donnée par l’employeur à ses courriers, ne sont pas propres à confirmer le versement concret d’un salaire ni le caractère réel et effectif de l’activité lucrative, mais seulement que ces autorités se sont basées sur l’information obtenue selon laquelle le recourant percevait un salaire, par exemple en se fondant sur le contrat de travail du 13 mars 2023 ou sur la déclaration indicative du recourant du 25 août 2023 à la commune de I _________. Par conséquent, force est de constater que le recourant n’a pas démontré son statut de travailleur salarié auprès de C _________ SA. Ce résultat empêche également le recourant de se prévaloir, s’il devait être actuellement sans emploi, de l’exception de l'art. 6 par. 6 annexe I ALCP qui ne protège que le ressortissant communautaire qui disposait préalablement du statut de travailleur salarié (ATF 151 II 277 consid. 5.6.3 et 147 II 1 consid. 2.4.2).</w:t>
      </w:r>
    </w:p>
    <w:p>
      <w:r>
        <w:rPr>
          <w:b/>
        </w:rPr>
        <w:t>E. 2.3</w:t>
      </w:r>
    </w:p>
    <w:p>
      <w:r>
        <w:t>Concernant les rapports de travail allégués entre le recourant et L _________ AG, force est de constater que premier n’a jamais été salarié de la seconde au vu des renseignements fournis les 21 mai et 3 juin 2025 par P _________. En définitive, la position du Conseil d’Etat considérant que le recourant n’a pas apporté la preuve de sa qualité de travailleur permettant de conserver son autorisation de séjour pour une durée de cinq ans au sens de l’art. 6 par. 1 annexe I ALCP ne prête pas flanc à la critique, les moyens nouveaux apportés céans n’infirmant pas cette appréciation. Partant, le grief doit être écarté.</w:t>
      </w:r>
    </w:p>
    <w:p>
      <w:r>
        <w:rPr>
          <w:b/>
        </w:rPr>
        <w:t>E. 3</w:t>
      </w:r>
    </w:p>
    <w:p>
      <w:r>
        <w:t>A ce stade, il convient encore d’examiner si le recourant peut, comme il le laisse entendre, se prévaloir d'un droit à demeurer en Suisse sur la base de l'art. 24 par. 1 annexe I ALCP en lien avec l'art. 6 ALCP.</w:t>
      </w:r>
    </w:p>
    <w:p>
      <w:r>
        <w:rPr>
          <w:b/>
        </w:rPr>
        <w:t>E. 3.1</w:t>
      </w:r>
    </w:p>
    <w:p>
      <w:r>
        <w:t>A teneur de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t>- 13 -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l’on considère que la condition de l’art. 16 al. 1 OLCP est remplie si les moyens financiers d’un citoyen suisse, dans la même situation, lui fermeraient l’accès à l’aide sociale (ATF 144 II 113 consid. 4.1 ; arrêt du Tribunal fédéral 2C_975/2022 du 20 avril 2023 consid. 7.2).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2C_975/2022 du 20 avril 2023 consid. 7.4).</w:t>
      </w:r>
    </w:p>
    <w:p>
      <w:r>
        <w:rPr>
          <w:b/>
        </w:rPr>
        <w:t>E. 3.2</w:t>
      </w:r>
    </w:p>
    <w:p>
      <w:r>
        <w:t>En l’occurrence, le recourant n’a pas apporté la preuve de l’existence de moyens financiers suffisants. En effet, il ne perçoit aucun salaire, hormis de soi-disant éventuels revenus en nature tels que des vols en hélicoptère (supra consid. 2.3), sans avoir démontré que ceux-ci lui permettent de subvenir à ses besoins. Quant à sa fortune, la situation est très opaque pour plusieurs raisons. D’abord, l’attestation du 2 avril 2025 de la banque M _________ est sujette à caution et ne suffit pas à démontrer que le recourant dispose de quoi financer son train de vie pour les années à venir comme il l’allègue, car ce document ne contient pas de numéro de compte et provient d’une banque privée étrangère, non soumise à la surveillance de l’Autorité fédérale de surveillance des marchés financiers. Il ne s’agit pas d’un extrait d’un compte bancaire ou d’un formulaire officiel mais d’une attestation émise sur demande de l’avocat du recourant. Ensuite, les informations obtenues par l’inspectrice chargée d’enquêter sur les plaintes pénales en cours ne font état d’aucune fortune auprès de la banque M _________. Quoi qu’en pense le recourant, la déclaration écrite de cette agente dûment assermentée et n’ayant aucun intérêt à mentir, est particulièrement convaincante. Sur le vu de ce qui précède, la valeur probante de l’attestation bancaire doit être très fortement relativisée. En outre, l’on ne saurait se contenter d’une telle attestation sachant que durant l’enquête pénale ayant débouché sur sa condamnation par le Tribunal correctionnel de Lausanne le 27 janvier 2003, le</w:t>
      </w:r>
    </w:p>
    <w:p>
      <w:r>
        <w:t>- 14 - recourant avait convaincu son banquier d’établir des faux documents attestant des transactions bancaires. Ceci atténue encore sensiblement les allégations du recourant. Pour le reste, le recourant ne cesse de se présenter comme un homme d’affaires fortuné, ce qui est en parfaite inadéquation avec sa situation telle qu’elle ressort du dossier. Les jugements, certes anciens, du Tribunal correctionnel de Lausanne du 27 janvier 2003 et de la Cour d’appel de A _________ du 12 mai 2010, indiquent d’ailleurs que le modus operandi du recourant consistait à se présenter comme un riche homme d’affaires afin d’obtenir des avances sur d’importantes sommes d’argent lui permettant de survivre financièrement en sachant qu’il ne les rembourserait pas. Or, lors de ses séjours en Suisse ces dernières années, le recourant ne percevait pas de salaire et a, de la même manière, obtenu des sommes de tiers en promettant de les rembourser, ce qui n’a vraisemblablement pas été fait à ce jour. Il a aussi présenté un document bancaire à son ancien chauffeur de taxi attestant d’un ordre bancaire à hauteur de 500'000 fr. le 19 janvier 2023 tandis que son avocat déplore en février 2025 qu’il n’a pas pu honorer son « cadeau » de 200'000 fr. depuis 2022 à G _________ ni rembourser D _________ AG car ses comptes seraient bloqués pour des raisons fiscales. Il est sur ce point fort surprenant que le blocage des comptes d’une personne qui se dit multimillionnaire, voire milliardaire, soit tel qu’il ne peut rembourser des sommes représentant une modique partie de sa fortune. La presse avait également relaté en janvier 2023 que le recourant avait signé un accord d’exclusivité en vue de la reprise des remontées mécaniques de R _________. Une fois de plus, les allégations du recourant ne sont pas prouvées, voire même paraissent fantaisistes. S’ajoute à cela que la situation financière du recourant est fortement obérée, puisque son extrait du registre des poursuites affiche un montant total de 3'001'138 fr. 85, dont 2'565'828 fr. 65 sont au stade de la saisie, laquelle est inexécutable du point de vue de l’Office des poursuites des districts de Martigny et Entremont qui tente encore d’obtenir les arriérés des retenues sur salaire auprès de C _________ SA le 30 juin 2025. Le recourant n’a pas non plus recapitalisé L _________ AG avant le 7 mai 2025 alors qu’il s’y était engagé. Ainsi, à supposer, comme il l’affirme péremptoirement, que le recourant dispose de fonds, il est de toute manière dans l’incapacité de les utiliser.</w:t>
      </w:r>
    </w:p>
    <w:p>
      <w:r>
        <w:rPr>
          <w:b/>
        </w:rPr>
        <w:t>E. 3.3</w:t>
      </w:r>
    </w:p>
    <w:p>
      <w:r>
        <w:t>Au terme de cet examen, il apparaît que le recourant n’a pas fourni des indications exactes et complètes attestant de l’existence de moyens financiers suffisants pour ne pas devoir faire appel à l’aide sociale pendant son séjour. Au surplus, il n’a pas apporté la preuve de son affiliation à une assurance-maladie couvrant l’ensemble des risques. La condition de l’art. 24 par. 1 let. b annexe I ALCP n’est donc pas non plus remplie.</w:t>
      </w:r>
    </w:p>
    <w:p>
      <w:r>
        <w:t>- 15 - Partant, ce grief doit également être écarté.</w:t>
      </w:r>
    </w:p>
    <w:p>
      <w:r>
        <w:rPr>
          <w:b/>
        </w:rPr>
        <w:t>E. 4.1</w:t>
      </w:r>
    </w:p>
    <w:p>
      <w:r>
        <w:t>Attendu ce qui précède, le recours est rejeté (art. 80 al. 1 let. e et 60 al. 1 LPJA).</w:t>
      </w:r>
    </w:p>
    <w:p>
      <w:r>
        <w:rPr>
          <w:b/>
        </w:rPr>
        <w:t>E. 4.2</w:t>
      </w:r>
    </w:p>
    <w:p>
      <w:r>
        <w:t>Le recourant succombe entièrement et supporte la totalité de l’émolument de justice, qu’il convient de fixer, notamment en application des principes de couverture des frais et d’équivalence des prestations, à 1500 fr., débours compris (art. 89 al. 1 LPJA ; art. 3 al. 3, 13 et 25 LTar). Il n’a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